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AC542" w14:textId="5D1954EB" w:rsidR="00F960CD" w:rsidRPr="005E1C9F" w:rsidRDefault="00F960CD" w:rsidP="00F960CD">
      <w:pPr>
        <w:spacing w:before="240" w:after="200"/>
        <w:jc w:val="both"/>
        <w:rPr>
          <w:bCs/>
        </w:rPr>
      </w:pPr>
      <w:bookmarkStart w:id="0" w:name="_Hlk105683639"/>
      <w:bookmarkEnd w:id="0"/>
      <w:r w:rsidRPr="005E1C9F">
        <w:rPr>
          <w:bCs/>
        </w:rPr>
        <w:t xml:space="preserve">As illustrated in </w:t>
      </w:r>
      <w:r w:rsidRPr="00B06AEE">
        <w:t xml:space="preserve">Figure </w:t>
      </w:r>
      <w:r>
        <w:t>1</w:t>
      </w:r>
      <w:r w:rsidRPr="00B06AEE">
        <w:t>, there</w:t>
      </w:r>
      <w:r w:rsidRPr="005E1C9F">
        <w:rPr>
          <w:bCs/>
        </w:rPr>
        <w:t xml:space="preserve"> is a tail-like formation of the particle accumulation behind the bridging location in addition to the forward movement of the bridging location. Finally, at the end of 1 second, the bridging pack further moves away and takes an inverted v shape, as shown in </w:t>
      </w:r>
      <w:r w:rsidRPr="00B06AEE">
        <w:t>Figure 64.</w:t>
      </w:r>
      <w:r w:rsidRPr="005E1C9F">
        <w:rPr>
          <w:bCs/>
        </w:rPr>
        <w:t xml:space="preserve"> This change in shape from the tail like particle accumulation to inverted v shape can be attributed to the fracture wall expansion.</w:t>
      </w:r>
    </w:p>
    <w:p w14:paraId="5A7E1B1D" w14:textId="1B9B76D3" w:rsidR="00F960CD" w:rsidRPr="005E1C9F" w:rsidRDefault="00F960CD" w:rsidP="00F960CD">
      <w:pPr>
        <w:jc w:val="center"/>
        <w:rPr>
          <w:bCs/>
        </w:rPr>
      </w:pPr>
      <w:r w:rsidRPr="005E1C9F">
        <w:rPr>
          <w:bCs/>
          <w:noProof/>
        </w:rPr>
        <w:drawing>
          <wp:inline distT="0" distB="0" distL="0" distR="0" wp14:anchorId="69F41B52" wp14:editId="75D649AE">
            <wp:extent cx="1839883" cy="990600"/>
            <wp:effectExtent l="0" t="0" r="8255" b="0"/>
            <wp:docPr id="4123" name="Picture 412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23" name="Picture 4123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261" cy="10101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Cs/>
          <w:noProof/>
        </w:rPr>
        <w:t xml:space="preserve"> </w:t>
      </w:r>
      <w:r w:rsidRPr="005E1C9F">
        <w:rPr>
          <w:bCs/>
          <w:noProof/>
        </w:rPr>
        <w:drawing>
          <wp:inline distT="0" distB="0" distL="0" distR="0" wp14:anchorId="1B4D5B7F" wp14:editId="49FC7A9A">
            <wp:extent cx="1839293" cy="990282"/>
            <wp:effectExtent l="0" t="0" r="8890" b="635"/>
            <wp:docPr id="32" name="Picture 32" descr="Char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Char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010" cy="10089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Cs/>
          <w:noProof/>
        </w:rPr>
        <w:t xml:space="preserve"> </w:t>
      </w:r>
      <w:r w:rsidRPr="005E1C9F">
        <w:rPr>
          <w:bCs/>
          <w:noProof/>
        </w:rPr>
        <w:drawing>
          <wp:inline distT="0" distB="0" distL="0" distR="0" wp14:anchorId="7EC2FBF8" wp14:editId="4DED254B">
            <wp:extent cx="1838325" cy="989763"/>
            <wp:effectExtent l="0" t="0" r="0" b="1270"/>
            <wp:docPr id="33" name="Picture 33" descr="A picture containing 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 descr="A picture containing background patter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216" cy="10209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D9A014" w14:textId="5840AE2B" w:rsidR="00F960CD" w:rsidRPr="00626BED" w:rsidRDefault="00F960CD" w:rsidP="00F960CD">
      <w:pPr>
        <w:spacing w:after="200"/>
        <w:jc w:val="center"/>
        <w:rPr>
          <w:b/>
          <w:bCs/>
          <w:sz w:val="20"/>
          <w:szCs w:val="20"/>
        </w:rPr>
      </w:pPr>
      <w:bookmarkStart w:id="1" w:name="_Toc104763753"/>
      <w:r w:rsidRPr="00626BED">
        <w:rPr>
          <w:b/>
          <w:bCs/>
          <w:iCs/>
          <w:sz w:val="20"/>
          <w:szCs w:val="20"/>
        </w:rPr>
        <w:t xml:space="preserve">Figure </w:t>
      </w:r>
      <w:r>
        <w:rPr>
          <w:b/>
          <w:bCs/>
          <w:iCs/>
          <w:sz w:val="20"/>
          <w:szCs w:val="20"/>
        </w:rPr>
        <w:t>1</w:t>
      </w:r>
      <w:r w:rsidRPr="00626BED">
        <w:rPr>
          <w:b/>
          <w:bCs/>
          <w:iCs/>
          <w:sz w:val="20"/>
          <w:szCs w:val="20"/>
        </w:rPr>
        <w:t xml:space="preserve">: </w:t>
      </w:r>
      <w:r w:rsidRPr="00626BED">
        <w:rPr>
          <w:b/>
          <w:bCs/>
          <w:sz w:val="20"/>
          <w:szCs w:val="20"/>
        </w:rPr>
        <w:t>Initial plugging</w:t>
      </w:r>
      <w:r>
        <w:rPr>
          <w:b/>
          <w:bCs/>
          <w:sz w:val="20"/>
          <w:szCs w:val="20"/>
        </w:rPr>
        <w:t>,</w:t>
      </w:r>
      <w:r w:rsidRPr="00626BED">
        <w:rPr>
          <w:b/>
          <w:bCs/>
          <w:sz w:val="20"/>
          <w:szCs w:val="20"/>
        </w:rPr>
        <w:t xml:space="preserve"> fracture expanded 0.044 mm</w:t>
      </w:r>
      <w:r>
        <w:rPr>
          <w:b/>
          <w:bCs/>
          <w:sz w:val="20"/>
          <w:szCs w:val="20"/>
        </w:rPr>
        <w:t xml:space="preserve"> (right)</w:t>
      </w:r>
      <w:bookmarkStart w:id="2" w:name="_Toc104763754"/>
      <w:bookmarkEnd w:id="1"/>
      <w:r>
        <w:rPr>
          <w:b/>
          <w:bCs/>
          <w:sz w:val="20"/>
          <w:szCs w:val="20"/>
        </w:rPr>
        <w:t>,</w:t>
      </w:r>
      <w:r w:rsidRPr="00626BED">
        <w:rPr>
          <w:b/>
          <w:bCs/>
          <w:iCs/>
          <w:sz w:val="20"/>
          <w:szCs w:val="20"/>
        </w:rPr>
        <w:t xml:space="preserve"> </w:t>
      </w:r>
      <w:r w:rsidRPr="00626BED">
        <w:rPr>
          <w:b/>
          <w:bCs/>
          <w:sz w:val="20"/>
          <w:szCs w:val="20"/>
        </w:rPr>
        <w:t>Later bridging; fracture expanded 0.08 mm</w:t>
      </w:r>
      <w:bookmarkEnd w:id="2"/>
      <w:r>
        <w:rPr>
          <w:b/>
          <w:bCs/>
          <w:sz w:val="20"/>
          <w:szCs w:val="20"/>
        </w:rPr>
        <w:t xml:space="preserve"> (middle),</w:t>
      </w:r>
      <w:bookmarkStart w:id="3" w:name="_Toc104763755"/>
      <w:r>
        <w:rPr>
          <w:b/>
          <w:bCs/>
          <w:sz w:val="20"/>
          <w:szCs w:val="20"/>
        </w:rPr>
        <w:t xml:space="preserve"> </w:t>
      </w:r>
      <w:r w:rsidRPr="00626BED">
        <w:rPr>
          <w:b/>
          <w:bCs/>
          <w:sz w:val="20"/>
          <w:szCs w:val="20"/>
        </w:rPr>
        <w:t>Bridging location moves forward; fracture expanded 0.2 mm</w:t>
      </w:r>
      <w:r>
        <w:rPr>
          <w:b/>
          <w:bCs/>
          <w:sz w:val="20"/>
          <w:szCs w:val="20"/>
        </w:rPr>
        <w:t xml:space="preserve"> (left)</w:t>
      </w:r>
      <w:r w:rsidRPr="00626BED">
        <w:rPr>
          <w:b/>
          <w:bCs/>
          <w:sz w:val="20"/>
          <w:szCs w:val="20"/>
        </w:rPr>
        <w:t>.</w:t>
      </w:r>
      <w:bookmarkEnd w:id="3"/>
    </w:p>
    <w:p w14:paraId="51DF0E9C" w14:textId="77777777" w:rsidR="00F960CD" w:rsidRDefault="00F960CD" w:rsidP="00F960CD">
      <w:pPr>
        <w:spacing w:after="200"/>
        <w:jc w:val="both"/>
        <w:rPr>
          <w:bCs/>
        </w:rPr>
      </w:pPr>
      <w:r>
        <w:rPr>
          <w:bCs/>
        </w:rPr>
        <w:t>After building the model, t</w:t>
      </w:r>
      <w:r w:rsidRPr="00257094">
        <w:rPr>
          <w:bCs/>
        </w:rPr>
        <w:t xml:space="preserve">he coupled CFD-DEM simulations were used to generate about 100 cases that have different size distributions. </w:t>
      </w:r>
      <w:r>
        <w:rPr>
          <w:bCs/>
        </w:rPr>
        <w:t>W</w:t>
      </w:r>
      <w:r w:rsidRPr="00257094">
        <w:rPr>
          <w:bCs/>
        </w:rPr>
        <w:t xml:space="preserve">e have determined that the best fracture sealing results come from the bimodal distribution designs. By comparing the fluid reduction of the mono-modal distribution against the bimodally distributed particle sizes, fluid loss could be significantly minimized with a bimodal design. </w:t>
      </w:r>
      <w:r w:rsidRPr="00B06AEE">
        <w:t>Figure 65 illustrate</w:t>
      </w:r>
      <w:r w:rsidRPr="00257094">
        <w:rPr>
          <w:bCs/>
        </w:rPr>
        <w:t xml:space="preserve"> the importance of the sealing ability between single-sized particle and a mixture of two different sizes. Fracture sealing can be better achieved with proper large and small particle size mixtures.</w:t>
      </w:r>
    </w:p>
    <w:p w14:paraId="75404D5C" w14:textId="77777777" w:rsidR="00F960CD" w:rsidRDefault="00F960CD" w:rsidP="00F960CD">
      <w:pPr>
        <w:jc w:val="both"/>
        <w:rPr>
          <w:bCs/>
        </w:rPr>
      </w:pPr>
      <w:r w:rsidRPr="00257094">
        <w:rPr>
          <w:bCs/>
          <w:noProof/>
        </w:rPr>
        <w:drawing>
          <wp:inline distT="0" distB="0" distL="0" distR="0" wp14:anchorId="4AB93B4D" wp14:editId="3F24E0AC">
            <wp:extent cx="5943600" cy="2751455"/>
            <wp:effectExtent l="0" t="0" r="0" b="0"/>
            <wp:docPr id="4118" name="Picture 4118" descr="A picture containing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calendar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51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E4C8B2" w14:textId="77777777" w:rsidR="00F960CD" w:rsidRPr="00A16007" w:rsidRDefault="00F960CD" w:rsidP="00F960CD">
      <w:pPr>
        <w:spacing w:after="200"/>
        <w:jc w:val="center"/>
        <w:rPr>
          <w:b/>
          <w:bCs/>
          <w:sz w:val="20"/>
          <w:szCs w:val="20"/>
        </w:rPr>
      </w:pPr>
      <w:bookmarkStart w:id="4" w:name="_Toc104763756"/>
      <w:r w:rsidRPr="00A16007">
        <w:rPr>
          <w:b/>
          <w:bCs/>
          <w:iCs/>
          <w:sz w:val="20"/>
          <w:szCs w:val="20"/>
        </w:rPr>
        <w:t xml:space="preserve">Figure </w:t>
      </w:r>
      <w:r w:rsidRPr="00A16007">
        <w:rPr>
          <w:b/>
          <w:bCs/>
          <w:iCs/>
          <w:sz w:val="20"/>
          <w:szCs w:val="20"/>
        </w:rPr>
        <w:fldChar w:fldCharType="begin"/>
      </w:r>
      <w:r w:rsidRPr="00A16007">
        <w:rPr>
          <w:b/>
          <w:bCs/>
          <w:iCs/>
          <w:sz w:val="20"/>
          <w:szCs w:val="20"/>
        </w:rPr>
        <w:instrText xml:space="preserve"> SEQ Figure \* ARABIC </w:instrText>
      </w:r>
      <w:r w:rsidRPr="00A16007">
        <w:rPr>
          <w:b/>
          <w:bCs/>
          <w:iCs/>
          <w:sz w:val="20"/>
          <w:szCs w:val="20"/>
        </w:rPr>
        <w:fldChar w:fldCharType="separate"/>
      </w:r>
      <w:r w:rsidRPr="00A16007">
        <w:rPr>
          <w:b/>
          <w:bCs/>
          <w:iCs/>
          <w:noProof/>
          <w:sz w:val="20"/>
          <w:szCs w:val="20"/>
        </w:rPr>
        <w:t>65</w:t>
      </w:r>
      <w:r w:rsidRPr="00A16007">
        <w:rPr>
          <w:b/>
          <w:bCs/>
          <w:sz w:val="20"/>
          <w:szCs w:val="20"/>
        </w:rPr>
        <w:fldChar w:fldCharType="end"/>
      </w:r>
      <w:r w:rsidRPr="00A16007">
        <w:rPr>
          <w:b/>
          <w:bCs/>
          <w:iCs/>
          <w:sz w:val="20"/>
          <w:szCs w:val="20"/>
        </w:rPr>
        <w:t xml:space="preserve">: </w:t>
      </w:r>
      <w:r w:rsidRPr="00A16007">
        <w:rPr>
          <w:b/>
          <w:bCs/>
          <w:sz w:val="20"/>
          <w:szCs w:val="20"/>
        </w:rPr>
        <w:t>1–Cross-sectional representation of effectiveness in fracture sealing for D/</w:t>
      </w:r>
      <w:proofErr w:type="spellStart"/>
      <w:r w:rsidRPr="00A16007">
        <w:rPr>
          <w:b/>
          <w:bCs/>
          <w:sz w:val="20"/>
          <w:szCs w:val="20"/>
        </w:rPr>
        <w:t>W</w:t>
      </w:r>
      <w:r w:rsidRPr="00A16007">
        <w:rPr>
          <w:b/>
          <w:bCs/>
          <w:sz w:val="20"/>
          <w:szCs w:val="20"/>
          <w:vertAlign w:val="subscript"/>
        </w:rPr>
        <w:t>f</w:t>
      </w:r>
      <w:proofErr w:type="spellEnd"/>
      <w:r w:rsidRPr="00A16007">
        <w:rPr>
          <w:b/>
          <w:bCs/>
          <w:sz w:val="20"/>
          <w:szCs w:val="20"/>
        </w:rPr>
        <w:t xml:space="preserve"> = 0.5 and d/D = 0.5.</w:t>
      </w:r>
      <w:bookmarkEnd w:id="4"/>
    </w:p>
    <w:p w14:paraId="4B4ED2BD" w14:textId="77777777" w:rsidR="00297A64" w:rsidRDefault="00D66CA6"/>
    <w:sectPr w:rsidR="00297A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SyMDKzNDcxNrY0MzRV0lEKTi0uzszPAykwrAUAyd3VGywAAAA="/>
  </w:docVars>
  <w:rsids>
    <w:rsidRoot w:val="00F715A3"/>
    <w:rsid w:val="00057EB6"/>
    <w:rsid w:val="001F6097"/>
    <w:rsid w:val="00260D02"/>
    <w:rsid w:val="002D41DA"/>
    <w:rsid w:val="00393A35"/>
    <w:rsid w:val="0059075B"/>
    <w:rsid w:val="005D65FD"/>
    <w:rsid w:val="00641BA1"/>
    <w:rsid w:val="007F3A7E"/>
    <w:rsid w:val="00892C1F"/>
    <w:rsid w:val="008A427D"/>
    <w:rsid w:val="008B1C2C"/>
    <w:rsid w:val="00A22434"/>
    <w:rsid w:val="00A6305A"/>
    <w:rsid w:val="00C64AAE"/>
    <w:rsid w:val="00D66CA6"/>
    <w:rsid w:val="00DF08AD"/>
    <w:rsid w:val="00EC1916"/>
    <w:rsid w:val="00F05783"/>
    <w:rsid w:val="00F715A3"/>
    <w:rsid w:val="00F960CD"/>
    <w:rsid w:val="00FA59E8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00F50"/>
  <w15:chartTrackingRefBased/>
  <w15:docId w15:val="{49E5EAB5-D5B7-47B7-BC9D-39A56BAAE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6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Musaab Magzoub</dc:creator>
  <cp:keywords/>
  <dc:description/>
  <cp:lastModifiedBy>Musaab Magzoub</cp:lastModifiedBy>
  <cp:revision>2</cp:revision>
  <dcterms:created xsi:type="dcterms:W3CDTF">2022-06-09T21:11:00Z</dcterms:created>
  <dcterms:modified xsi:type="dcterms:W3CDTF">2022-06-09T21:16:00Z</dcterms:modified>
</cp:coreProperties>
</file>